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985" w:rsidRPr="00530A54" w:rsidRDefault="00530A54" w:rsidP="00C100CD">
      <w:pPr>
        <w:rPr>
          <w:b/>
          <w:color w:val="auto"/>
        </w:rPr>
      </w:pPr>
      <w:r w:rsidRPr="00530A54">
        <w:rPr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414pt;margin-top:-59.25pt;width:96.2pt;height:75pt;z-index:251658240;visibility:visible" wrapcoords="-169 0 -169 21384 21600 21384 21600 0 -169 0">
            <v:imagedata r:id="rId5" o:title=""/>
            <w10:wrap type="through"/>
          </v:shape>
        </w:pict>
      </w:r>
      <w:r w:rsidRPr="00530A54">
        <w:rPr>
          <w:noProof/>
          <w:color w:val="auto"/>
        </w:rPr>
        <w:pict>
          <v:shape id="Picture 1" o:spid="_x0000_s1027" type="#_x0000_t75" style="position:absolute;margin-left:0;margin-top:-54pt;width:141pt;height:57.75pt;z-index:-251657216;visibility:visible" wrapcoords="-115 0 -115 21319 21600 21319 21600 0 -115 0">
            <v:imagedata r:id="rId6" o:title=""/>
            <w10:wrap type="tight"/>
          </v:shape>
        </w:pict>
      </w:r>
    </w:p>
    <w:p w:rsidR="00310985" w:rsidRPr="00530A54" w:rsidRDefault="00310985" w:rsidP="00C100CD">
      <w:pPr>
        <w:rPr>
          <w:b/>
          <w:color w:val="auto"/>
        </w:rPr>
      </w:pPr>
    </w:p>
    <w:p w:rsidR="00310985" w:rsidRPr="00530A54" w:rsidRDefault="00310985" w:rsidP="00C100CD">
      <w:pPr>
        <w:rPr>
          <w:b/>
          <w:color w:val="auto"/>
        </w:rPr>
      </w:pPr>
    </w:p>
    <w:p w:rsidR="00310985" w:rsidRPr="00530A54" w:rsidRDefault="00310985" w:rsidP="00C100CD">
      <w:pPr>
        <w:jc w:val="center"/>
        <w:rPr>
          <w:b/>
          <w:color w:val="auto"/>
        </w:rPr>
      </w:pPr>
    </w:p>
    <w:p w:rsidR="00310985" w:rsidRPr="00530A54" w:rsidRDefault="00310985" w:rsidP="00C100CD">
      <w:pPr>
        <w:jc w:val="center"/>
        <w:rPr>
          <w:b/>
          <w:color w:val="auto"/>
        </w:rPr>
      </w:pPr>
    </w:p>
    <w:p w:rsidR="00310985" w:rsidRPr="00530A54" w:rsidRDefault="00310985" w:rsidP="00C100CD">
      <w:pPr>
        <w:jc w:val="center"/>
        <w:rPr>
          <w:b/>
          <w:color w:val="auto"/>
        </w:rPr>
      </w:pPr>
    </w:p>
    <w:p w:rsidR="00310985" w:rsidRPr="00530A54" w:rsidRDefault="00310985" w:rsidP="00C25141">
      <w:pPr>
        <w:spacing w:line="280" w:lineRule="auto"/>
        <w:jc w:val="center"/>
        <w:rPr>
          <w:color w:val="auto"/>
          <w:sz w:val="28"/>
          <w:szCs w:val="28"/>
        </w:rPr>
      </w:pPr>
      <w:r w:rsidRPr="00530A54">
        <w:rPr>
          <w:color w:val="auto"/>
          <w:sz w:val="28"/>
          <w:szCs w:val="28"/>
          <w:lang w:val="mk-MK"/>
        </w:rPr>
        <w:t xml:space="preserve">KUVENDI I REPUBLIKËS SË MAQEDONISË </w:t>
      </w:r>
    </w:p>
    <w:p w:rsidR="00310985" w:rsidRPr="00530A54" w:rsidRDefault="00310985" w:rsidP="00C100CD">
      <w:pPr>
        <w:jc w:val="center"/>
        <w:rPr>
          <w:color w:val="auto"/>
          <w:sz w:val="28"/>
          <w:szCs w:val="28"/>
        </w:rPr>
      </w:pPr>
    </w:p>
    <w:p w:rsidR="00310985" w:rsidRPr="00530A54" w:rsidRDefault="00310985" w:rsidP="00C25141">
      <w:pPr>
        <w:spacing w:line="280" w:lineRule="auto"/>
        <w:jc w:val="center"/>
        <w:rPr>
          <w:color w:val="auto"/>
          <w:sz w:val="28"/>
          <w:szCs w:val="28"/>
          <w:lang w:val="mk-MK"/>
        </w:rPr>
      </w:pPr>
      <w:r w:rsidRPr="00530A54">
        <w:rPr>
          <w:color w:val="auto"/>
          <w:sz w:val="28"/>
          <w:szCs w:val="28"/>
          <w:lang w:val="mk-MK"/>
        </w:rPr>
        <w:t xml:space="preserve">KLUBI I DEPUTETEVE </w:t>
      </w: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4"/>
          <w:szCs w:val="24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25141">
      <w:pPr>
        <w:spacing w:line="280" w:lineRule="auto"/>
        <w:jc w:val="center"/>
        <w:rPr>
          <w:b/>
          <w:color w:val="auto"/>
          <w:sz w:val="28"/>
          <w:szCs w:val="28"/>
          <w:lang w:val="mk-MK"/>
        </w:rPr>
      </w:pPr>
      <w:r w:rsidRPr="00530A54">
        <w:rPr>
          <w:b/>
          <w:color w:val="auto"/>
          <w:sz w:val="28"/>
          <w:szCs w:val="28"/>
          <w:lang w:val="mk-MK"/>
        </w:rPr>
        <w:t xml:space="preserve">PLANI STRATEGJIK I KLUBIT TË DEPUTETEVE  </w:t>
      </w:r>
    </w:p>
    <w:p w:rsidR="00310985" w:rsidRPr="00530A54" w:rsidRDefault="00310985" w:rsidP="00C25141">
      <w:pPr>
        <w:spacing w:line="280" w:lineRule="auto"/>
        <w:jc w:val="center"/>
        <w:rPr>
          <w:b/>
          <w:color w:val="auto"/>
          <w:sz w:val="28"/>
          <w:szCs w:val="28"/>
          <w:lang w:val="mk-MK"/>
        </w:rPr>
      </w:pPr>
      <w:r w:rsidRPr="00530A54">
        <w:rPr>
          <w:b/>
          <w:color w:val="auto"/>
          <w:sz w:val="28"/>
          <w:szCs w:val="28"/>
          <w:lang w:val="mk-MK"/>
        </w:rPr>
        <w:t xml:space="preserve">KUVENDI I REPUBLIKËS SË MAQEDONISË </w:t>
      </w: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  <w:r w:rsidRPr="00530A54">
        <w:rPr>
          <w:b/>
          <w:color w:val="auto"/>
          <w:sz w:val="28"/>
          <w:szCs w:val="28"/>
          <w:lang w:val="mk-MK"/>
        </w:rPr>
        <w:t>2018-2020</w:t>
      </w: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  <w:lang w:val="mk-MK"/>
        </w:rPr>
      </w:pPr>
    </w:p>
    <w:p w:rsidR="00310985" w:rsidRPr="00530A54" w:rsidRDefault="00310985" w:rsidP="00C25141">
      <w:pPr>
        <w:spacing w:line="280" w:lineRule="auto"/>
        <w:jc w:val="center"/>
        <w:rPr>
          <w:color w:val="auto"/>
          <w:sz w:val="24"/>
          <w:szCs w:val="24"/>
          <w:lang w:val="mk-MK"/>
        </w:rPr>
      </w:pPr>
      <w:r w:rsidRPr="00530A54">
        <w:rPr>
          <w:color w:val="auto"/>
          <w:sz w:val="24"/>
          <w:szCs w:val="24"/>
          <w:lang w:val="mk-MK"/>
        </w:rPr>
        <w:t xml:space="preserve">Shkup, 2018 </w:t>
      </w:r>
    </w:p>
    <w:p w:rsidR="00310985" w:rsidRPr="00530A54" w:rsidRDefault="00310985" w:rsidP="00C100CD">
      <w:pPr>
        <w:jc w:val="center"/>
        <w:rPr>
          <w:b/>
          <w:color w:val="auto"/>
          <w:sz w:val="28"/>
          <w:szCs w:val="28"/>
        </w:rPr>
      </w:pPr>
      <w:r w:rsidRPr="00530A54">
        <w:rPr>
          <w:b/>
          <w:color w:val="auto"/>
          <w:sz w:val="28"/>
          <w:szCs w:val="28"/>
        </w:rPr>
        <w:br w:type="page"/>
      </w:r>
    </w:p>
    <w:p w:rsidR="00310985" w:rsidRPr="00530A54" w:rsidRDefault="00310985" w:rsidP="00C25141">
      <w:pPr>
        <w:spacing w:line="280" w:lineRule="auto"/>
        <w:jc w:val="center"/>
        <w:rPr>
          <w:b/>
          <w:color w:val="auto"/>
        </w:rPr>
      </w:pPr>
      <w:r w:rsidRPr="00530A54">
        <w:rPr>
          <w:b/>
          <w:color w:val="auto"/>
          <w:lang w:val="mk-MK"/>
        </w:rPr>
        <w:t xml:space="preserve">PLANI STRATEGJIK I KLUBIT TË DEPUTETEVE </w:t>
      </w:r>
    </w:p>
    <w:p w:rsidR="00310985" w:rsidRPr="00530A54" w:rsidRDefault="00310985" w:rsidP="00C25141">
      <w:pPr>
        <w:spacing w:line="280" w:lineRule="auto"/>
        <w:jc w:val="center"/>
        <w:rPr>
          <w:b/>
          <w:color w:val="auto"/>
        </w:rPr>
      </w:pPr>
      <w:r w:rsidRPr="00530A54">
        <w:rPr>
          <w:b/>
          <w:color w:val="auto"/>
          <w:lang w:val="mk-MK"/>
        </w:rPr>
        <w:t xml:space="preserve">KUVENDI I REPUBLIKËS SË MAQEDONISË </w:t>
      </w:r>
    </w:p>
    <w:p w:rsidR="00310985" w:rsidRPr="00530A54" w:rsidRDefault="00310985" w:rsidP="00C100CD">
      <w:pPr>
        <w:jc w:val="center"/>
        <w:rPr>
          <w:b/>
          <w:color w:val="auto"/>
        </w:rPr>
      </w:pPr>
      <w:r w:rsidRPr="00530A54">
        <w:rPr>
          <w:b/>
          <w:color w:val="auto"/>
        </w:rPr>
        <w:t>2018-2020</w:t>
      </w:r>
    </w:p>
    <w:p w:rsidR="00310985" w:rsidRPr="00530A54" w:rsidRDefault="00310985" w:rsidP="00C100CD">
      <w:pPr>
        <w:rPr>
          <w:color w:val="auto"/>
        </w:rPr>
      </w:pPr>
    </w:p>
    <w:p w:rsidR="00310985" w:rsidRPr="00530A54" w:rsidRDefault="00310985" w:rsidP="00C25141">
      <w:pPr>
        <w:spacing w:line="280" w:lineRule="auto"/>
        <w:rPr>
          <w:b/>
          <w:color w:val="auto"/>
        </w:rPr>
      </w:pPr>
      <w:r w:rsidRPr="00530A54">
        <w:rPr>
          <w:b/>
          <w:color w:val="auto"/>
          <w:lang w:val="mk-MK"/>
        </w:rPr>
        <w:t xml:space="preserve">Mision </w:t>
      </w:r>
    </w:p>
    <w:p w:rsidR="00310985" w:rsidRPr="00530A54" w:rsidRDefault="00310985" w:rsidP="00C25141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Klubi i deputeteve vepron me një qëllim të përbashkët dhe të vetëm – nëpërmjet zgjidhjeve ligjore të arrihet barazia gjinore dhe avancimi i të drejtave të grave, përfshirja e tyre aktive në procesin e vendimmarrjes në shtet si dhe përforcimin dhe zgjerimin e demokracisë në të gjitha sferat e shoqërisë maqedonase. </w:t>
      </w:r>
      <w:r w:rsidRPr="00530A54">
        <w:rPr>
          <w:color w:val="auto"/>
          <w:sz w:val="23"/>
          <w:szCs w:val="23"/>
          <w:highlight w:val="white"/>
        </w:rPr>
        <w:t xml:space="preserve"> </w:t>
      </w:r>
    </w:p>
    <w:p w:rsidR="00310985" w:rsidRPr="00530A54" w:rsidRDefault="00310985" w:rsidP="00C100CD">
      <w:pPr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C25141">
      <w:pPr>
        <w:spacing w:line="280" w:lineRule="auto"/>
        <w:jc w:val="both"/>
        <w:rPr>
          <w:b/>
          <w:color w:val="auto"/>
          <w:sz w:val="23"/>
          <w:szCs w:val="23"/>
          <w:highlight w:val="white"/>
        </w:rPr>
      </w:pPr>
      <w:r w:rsidRPr="00530A54">
        <w:rPr>
          <w:b/>
          <w:color w:val="auto"/>
          <w:sz w:val="23"/>
          <w:szCs w:val="23"/>
          <w:highlight w:val="white"/>
          <w:lang w:val="mk-MK"/>
        </w:rPr>
        <w:t xml:space="preserve">Qëllime strategjike </w:t>
      </w:r>
    </w:p>
    <w:p w:rsidR="00310985" w:rsidRPr="00530A54" w:rsidRDefault="00310985" w:rsidP="00C25141">
      <w:pPr>
        <w:numPr>
          <w:ilvl w:val="0"/>
          <w:numId w:val="11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Përforcimi i kapaciteteve të Klubit të deputeteve, </w:t>
      </w:r>
    </w:p>
    <w:p w:rsidR="00310985" w:rsidRPr="00530A54" w:rsidRDefault="00310985" w:rsidP="00C25141">
      <w:pPr>
        <w:numPr>
          <w:ilvl w:val="0"/>
          <w:numId w:val="11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Pjesëmarrja e rritur dhe fuqia e grave në proceset politike dhe proceset e marrjes së vendimeve; </w:t>
      </w:r>
    </w:p>
    <w:p w:rsidR="00310985" w:rsidRPr="00530A54" w:rsidRDefault="00310985" w:rsidP="00C25141">
      <w:pPr>
        <w:numPr>
          <w:ilvl w:val="0"/>
          <w:numId w:val="11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Çrrënjosje e diskriminimit dhe dhunës </w:t>
      </w:r>
      <w:r w:rsidRPr="00530A54">
        <w:rPr>
          <w:color w:val="auto"/>
          <w:sz w:val="23"/>
          <w:szCs w:val="23"/>
          <w:highlight w:val="white"/>
          <w:lang w:val="sq-AL"/>
        </w:rPr>
        <w:t>n</w:t>
      </w:r>
      <w:r w:rsidRPr="00530A54">
        <w:rPr>
          <w:color w:val="auto"/>
          <w:sz w:val="23"/>
          <w:szCs w:val="23"/>
          <w:highlight w:val="white"/>
          <w:lang w:val="mk-MK"/>
        </w:rPr>
        <w:t>ë baz</w:t>
      </w:r>
      <w:r w:rsidRPr="00530A54">
        <w:rPr>
          <w:color w:val="auto"/>
          <w:sz w:val="23"/>
          <w:szCs w:val="23"/>
          <w:highlight w:val="white"/>
          <w:lang w:val="sq-AL"/>
        </w:rPr>
        <w:t>ë</w:t>
      </w:r>
      <w:r w:rsidRPr="00530A54">
        <w:rPr>
          <w:color w:val="auto"/>
          <w:sz w:val="23"/>
          <w:szCs w:val="23"/>
          <w:highlight w:val="white"/>
          <w:lang w:val="mk-MK"/>
        </w:rPr>
        <w:t xml:space="preserve"> gjinore; </w:t>
      </w:r>
    </w:p>
    <w:p w:rsidR="00310985" w:rsidRPr="00530A54" w:rsidRDefault="00310985" w:rsidP="00C25141">
      <w:pPr>
        <w:numPr>
          <w:ilvl w:val="0"/>
          <w:numId w:val="11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Përforcimi ekonomik i grave dhe pjesëmarrja e rritur në tregun e punës (shqyrtim i veçantë ndaj ekonomisë së kujdesit dhe rolit të deputeteve në proceset buxhetore). </w:t>
      </w:r>
      <w:r w:rsidRPr="00530A54">
        <w:rPr>
          <w:color w:val="auto"/>
          <w:sz w:val="23"/>
          <w:szCs w:val="23"/>
          <w:highlight w:val="white"/>
        </w:rPr>
        <w:t xml:space="preserve">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  <w:lang w:val="mk-MK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Në të ardhmen Klubi i deputeteve do të punojë edhe në: </w:t>
      </w:r>
    </w:p>
    <w:p w:rsidR="00310985" w:rsidRPr="00530A54" w:rsidRDefault="00310985" w:rsidP="00BF00E0">
      <w:pPr>
        <w:pStyle w:val="ListParagraph"/>
        <w:numPr>
          <w:ilvl w:val="0"/>
          <w:numId w:val="16"/>
        </w:numPr>
        <w:spacing w:line="280" w:lineRule="auto"/>
        <w:jc w:val="both"/>
        <w:rPr>
          <w:color w:val="auto"/>
          <w:highlight w:val="white"/>
          <w:lang w:val="mk-MK"/>
        </w:rPr>
      </w:pPr>
      <w:r w:rsidRPr="00530A54">
        <w:rPr>
          <w:color w:val="auto"/>
          <w:highlight w:val="white"/>
          <w:lang w:val="mk-MK"/>
        </w:rPr>
        <w:t xml:space="preserve">Arritjen e baraspeshës ndërmjet jetës profesionale dhe private të grave; </w:t>
      </w:r>
    </w:p>
    <w:p w:rsidR="00310985" w:rsidRPr="00530A54" w:rsidRDefault="00310985" w:rsidP="00BF00E0">
      <w:pPr>
        <w:pStyle w:val="ListParagraph"/>
        <w:numPr>
          <w:ilvl w:val="0"/>
          <w:numId w:val="16"/>
        </w:numPr>
        <w:spacing w:line="280" w:lineRule="auto"/>
        <w:jc w:val="both"/>
        <w:rPr>
          <w:color w:val="auto"/>
          <w:highlight w:val="white"/>
          <w:lang w:val="mk-MK"/>
        </w:rPr>
      </w:pPr>
      <w:r w:rsidRPr="00530A54">
        <w:rPr>
          <w:color w:val="auto"/>
          <w:highlight w:val="white"/>
          <w:lang w:val="mk-MK"/>
        </w:rPr>
        <w:t xml:space="preserve">Përmirësimin e shëndetit të grave; </w:t>
      </w:r>
    </w:p>
    <w:p w:rsidR="00310985" w:rsidRPr="00530A54" w:rsidRDefault="00310985" w:rsidP="00BF00E0">
      <w:pPr>
        <w:pStyle w:val="ListParagraph"/>
        <w:numPr>
          <w:ilvl w:val="0"/>
          <w:numId w:val="16"/>
        </w:numPr>
        <w:spacing w:line="280" w:lineRule="auto"/>
        <w:jc w:val="both"/>
        <w:rPr>
          <w:color w:val="auto"/>
          <w:highlight w:val="white"/>
          <w:lang w:val="mk-MK"/>
        </w:rPr>
      </w:pPr>
      <w:r w:rsidRPr="00530A54">
        <w:rPr>
          <w:color w:val="auto"/>
          <w:highlight w:val="white"/>
          <w:lang w:val="mk-MK"/>
        </w:rPr>
        <w:t xml:space="preserve">Unifikimi i nivelit të emancipimit të grave në nivel shtetërorë përmes arsimimit. </w:t>
      </w:r>
    </w:p>
    <w:p w:rsidR="00310985" w:rsidRPr="00530A54" w:rsidRDefault="00310985" w:rsidP="00BF00E0">
      <w:pPr>
        <w:spacing w:line="280" w:lineRule="auto"/>
        <w:jc w:val="both"/>
        <w:rPr>
          <w:b/>
          <w:color w:val="auto"/>
          <w:sz w:val="23"/>
          <w:szCs w:val="23"/>
          <w:highlight w:val="white"/>
          <w:lang w:val="mk-MK"/>
        </w:rPr>
        <w:sectPr w:rsidR="00310985" w:rsidRPr="00530A54">
          <w:pgSz w:w="12240" w:h="15840"/>
          <w:pgMar w:top="1440" w:right="1440" w:bottom="1440" w:left="1440" w:header="0" w:footer="720" w:gutter="0"/>
          <w:pgNumType w:start="1"/>
          <w:cols w:space="720"/>
          <w:rtlGutter/>
        </w:sectPr>
      </w:pPr>
      <w:r w:rsidRPr="00530A54">
        <w:rPr>
          <w:b/>
          <w:color w:val="auto"/>
          <w:sz w:val="23"/>
          <w:szCs w:val="23"/>
          <w:highlight w:val="white"/>
          <w:lang w:val="mk-MK"/>
        </w:rPr>
        <w:t xml:space="preserve">Vlera:     </w:t>
      </w:r>
    </w:p>
    <w:p w:rsidR="00310985" w:rsidRPr="00530A54" w:rsidRDefault="00310985" w:rsidP="00BF00E0">
      <w:pPr>
        <w:spacing w:line="280" w:lineRule="auto"/>
        <w:jc w:val="both"/>
        <w:rPr>
          <w:b/>
          <w:color w:val="auto"/>
          <w:sz w:val="23"/>
          <w:szCs w:val="23"/>
          <w:highlight w:val="white"/>
          <w:lang w:val="mk-MK"/>
        </w:rPr>
      </w:pPr>
      <w:r w:rsidRPr="00530A54">
        <w:rPr>
          <w:b/>
          <w:color w:val="auto"/>
          <w:sz w:val="23"/>
          <w:szCs w:val="23"/>
          <w:highlight w:val="white"/>
          <w:lang w:val="mk-MK"/>
        </w:rPr>
        <w:t xml:space="preserve">                       -Profesionalizi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                       -Paanshmëri</w:t>
      </w:r>
      <w:r w:rsidR="00530A54">
        <w:rPr>
          <w:color w:val="auto"/>
          <w:sz w:val="23"/>
          <w:szCs w:val="23"/>
          <w:highlight w:val="white"/>
        </w:rPr>
        <w:t>a</w:t>
      </w:r>
      <w:bookmarkStart w:id="0" w:name="_GoBack"/>
      <w:bookmarkEnd w:id="0"/>
      <w:r w:rsidRPr="00530A54">
        <w:rPr>
          <w:color w:val="auto"/>
          <w:sz w:val="23"/>
          <w:szCs w:val="23"/>
          <w:highlight w:val="white"/>
          <w:lang w:val="mk-MK"/>
        </w:rPr>
        <w:t xml:space="preserve">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                       -Transparenca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                       -Pavarësia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                       -Përgjegjësia </w:t>
      </w: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                       -Efikasiteti </w:t>
      </w:r>
    </w:p>
    <w:p w:rsidR="00310985" w:rsidRPr="00530A54" w:rsidRDefault="00310985" w:rsidP="00C100CD">
      <w:pPr>
        <w:jc w:val="both"/>
        <w:rPr>
          <w:color w:val="auto"/>
          <w:sz w:val="23"/>
          <w:szCs w:val="23"/>
          <w:highlight w:val="white"/>
        </w:rPr>
        <w:sectPr w:rsidR="00310985" w:rsidRPr="00530A54" w:rsidSect="003C0A2F">
          <w:type w:val="continuous"/>
          <w:pgSz w:w="12240" w:h="15840"/>
          <w:pgMar w:top="1440" w:right="1440" w:bottom="1440" w:left="1440" w:header="0" w:footer="720" w:gutter="0"/>
          <w:pgNumType w:start="1"/>
          <w:cols w:num="2" w:space="720"/>
          <w:rtlGutter/>
        </w:sectPr>
      </w:pPr>
    </w:p>
    <w:p w:rsidR="00310985" w:rsidRPr="00530A54" w:rsidRDefault="00310985" w:rsidP="00C100CD">
      <w:pPr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Qëllime të Planit Strategjik të Klubit të deputeteve 2018-2020 </w:t>
      </w:r>
    </w:p>
    <w:p w:rsidR="00310985" w:rsidRPr="00530A54" w:rsidRDefault="00310985" w:rsidP="00C100CD">
      <w:pPr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numPr>
          <w:ilvl w:val="0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Përforcimi i kapaciteteve dhe organizimi i Klubit të deputeteve </w:t>
      </w:r>
    </w:p>
    <w:p w:rsidR="00310985" w:rsidRPr="00530A54" w:rsidRDefault="00310985" w:rsidP="00C100CD">
      <w:pPr>
        <w:ind w:left="720"/>
        <w:contextualSpacing/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Sigurimi i lokalit punues për Klubin e deputeteve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Angazhimi i personit i cili do të jetë i përkushtuar vetëm në Klubin e deputeteve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Trajnimi i personit të angazhuar në sferat në vijim: </w:t>
      </w:r>
      <w:r w:rsidRPr="00530A54">
        <w:rPr>
          <w:color w:val="auto"/>
          <w:sz w:val="23"/>
          <w:szCs w:val="23"/>
          <w:highlight w:val="white"/>
        </w:rPr>
        <w:t xml:space="preserve"> </w:t>
      </w:r>
      <w:r w:rsidRPr="00530A54">
        <w:rPr>
          <w:color w:val="auto"/>
          <w:sz w:val="23"/>
          <w:szCs w:val="23"/>
          <w:highlight w:val="white"/>
          <w:lang w:val="mk-MK"/>
        </w:rPr>
        <w:t xml:space="preserve">funksionet e Kuvendit të Republikës së Maqedonisë, të drejtat dhe obligimet e deputeteve, barazia gjinore, procedurë ligjvënëse, dhe kështu me radhë.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>Trajnimi i shërbimit profesional të Kuvendit të Republikës së Maqedonisë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Rritja e bazës së informatave të Klubit të grave deputete me studime relevante, analiza dhe informata në lidhje me këto sfera strategjike (dhe më gjerë). </w:t>
      </w:r>
      <w:r w:rsidRPr="00530A54">
        <w:rPr>
          <w:color w:val="auto"/>
          <w:sz w:val="23"/>
          <w:szCs w:val="23"/>
          <w:highlight w:val="white"/>
        </w:rPr>
        <w:t xml:space="preserve"> </w:t>
      </w:r>
      <w:r w:rsidRPr="00530A54">
        <w:rPr>
          <w:color w:val="auto"/>
          <w:sz w:val="23"/>
          <w:szCs w:val="23"/>
          <w:highlight w:val="white"/>
          <w:lang w:val="mk-MK"/>
        </w:rPr>
        <w:t xml:space="preserve">Të kontrollohet nëse Maqedonia do ta zbatoje EU tender index siç ishte njoftuar.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lastRenderedPageBreak/>
        <w:t xml:space="preserve">Realizimi i takimit ndërmjet deputeteve nga Maqedonia dhe deputeteve nga Parlamenti Evropian, posaçërisht ato të cilat janë përfshirë në diskutimet për procesin e aderimit të Maqedonisë në BE. </w:t>
      </w:r>
    </w:p>
    <w:p w:rsidR="00310985" w:rsidRPr="00530A54" w:rsidRDefault="00310985" w:rsidP="003C0A2F">
      <w:pPr>
        <w:ind w:left="1440"/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numPr>
          <w:ilvl w:val="0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Rritja e aktiviteteve të Klubit të deputeteve 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Organizimi i takimeve mujore të kryesisë së Klubit të deputeteve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Organizimi minimum i një aktiviteti në muaj i Klubit të deputeteve të orientuara nga jashtë </w:t>
      </w:r>
    </w:p>
    <w:p w:rsidR="00310985" w:rsidRPr="00530A54" w:rsidRDefault="00310985" w:rsidP="00BF00E0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Shqyrtimi i propozim-ligjeve nga aspekti gjinorë </w:t>
      </w:r>
    </w:p>
    <w:p w:rsidR="00310985" w:rsidRPr="00530A54" w:rsidRDefault="00310985" w:rsidP="00C100CD">
      <w:pPr>
        <w:ind w:left="720"/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numPr>
          <w:ilvl w:val="0"/>
          <w:numId w:val="12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Pjesëmarrja e rritur dhe fuqia e grave në proceset politike dhe proceset e marrjes së vendimeve </w:t>
      </w:r>
    </w:p>
    <w:p w:rsidR="00310985" w:rsidRPr="00530A54" w:rsidRDefault="00310985" w:rsidP="00BF00E0">
      <w:pPr>
        <w:spacing w:after="60"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3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.1: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Pjesëmarrja e rritur e grave në pushtetin ekzekutiv (ministre) dhe pushtetin lokal (kryetare të komunave)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Ndryshimi i ligjit për mundësi të barabarta dhe rikualifikim në lex generalis;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rFonts w:ascii="Georgia" w:hAnsi="Georgia"/>
          <w:color w:val="auto"/>
          <w:shd w:val="clear" w:color="auto" w:fill="FFFFFF"/>
          <w:lang w:val="mk-MK"/>
        </w:rPr>
        <w:t xml:space="preserve">ndryshime dhe plotësime në kodin zgjedhor për rritje të kuotave për pjesëmarrjen e grave në politikë, që të arrihet krahasim 50:50;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</w:rPr>
      </w:pPr>
      <w:r w:rsidRPr="00530A54">
        <w:rPr>
          <w:color w:val="auto"/>
          <w:sz w:val="23"/>
          <w:szCs w:val="23"/>
          <w:lang w:val="mk-MK"/>
        </w:rPr>
        <w:t xml:space="preserve">Ndryshime dhe plotësime në kodin zgjedhor për futjen e kuotës për zgjedhjen e 30% të kryetareve të komunave;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Ndryshime në ligjin për Qeveri: </w:t>
      </w:r>
      <w:r w:rsidRPr="00530A54">
        <w:rPr>
          <w:color w:val="auto"/>
          <w:sz w:val="23"/>
          <w:szCs w:val="23"/>
          <w:highlight w:val="white"/>
        </w:rPr>
        <w:t xml:space="preserve"> </w:t>
      </w:r>
      <w:r w:rsidRPr="00530A54">
        <w:rPr>
          <w:color w:val="auto"/>
          <w:sz w:val="23"/>
          <w:szCs w:val="23"/>
          <w:highlight w:val="white"/>
          <w:lang w:val="mk-MK"/>
        </w:rPr>
        <w:t xml:space="preserve">masa afirmative për numrin e rritur të grave ministre, sekretare shtetërore </w:t>
      </w:r>
    </w:p>
    <w:p w:rsidR="00310985" w:rsidRPr="00530A54" w:rsidRDefault="00310985" w:rsidP="00BF00E0">
      <w:pPr>
        <w:spacing w:after="60"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3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.2: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Gratë e përfshira në të gjitha ad hoc grupet politike </w:t>
      </w:r>
    </w:p>
    <w:p w:rsidR="00310985" w:rsidRPr="00530A54" w:rsidRDefault="00310985" w:rsidP="00BF00E0">
      <w:pPr>
        <w:numPr>
          <w:ilvl w:val="1"/>
          <w:numId w:val="13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Klubi i deputeteve të përpilojë dokument për prezencën e grave në marrjen e vendimeve </w:t>
      </w:r>
    </w:p>
    <w:p w:rsidR="00310985" w:rsidRPr="00530A54" w:rsidRDefault="00310985" w:rsidP="00BF00E0">
      <w:pPr>
        <w:numPr>
          <w:ilvl w:val="0"/>
          <w:numId w:val="12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Çrrënjosja e diskriminimit dhe dhunës në bazë gjinore; </w:t>
      </w:r>
    </w:p>
    <w:p w:rsidR="00310985" w:rsidRPr="00530A54" w:rsidRDefault="00310985" w:rsidP="00BF00E0">
      <w:pPr>
        <w:spacing w:after="60"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4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.1.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Mekanizma të përforcuara për mbrojtje nga diskriminimi në bazë gjinore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Monitorimi i zmadhuar i punës së Komisionit për mbrojtje nga diskriminimi, pas miratimit të ligjit të ri për mbrojtje nga diskriminimi dhe mbështetja e përforcuar institucionale e komisionit;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Iniciativa për ngritjen e vetëdijes për rolin e Drejtorisë për mbrojtjen e të dhënave personale dhe informimi i grave për atë se ku të drejtohen në rast të dhunës nëpërmjet medieve sociale, gjuha e urrejtjes dhe kështu me radhë;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Edukimi i ndjeshëm gjinorë në sistemin arsimorë, bashkëpunim dhe llogaridhënie nga Ministria e Arsimit ndaj vendosjes së pedagogjisë së ndjeshme gjinore; </w:t>
      </w:r>
    </w:p>
    <w:p w:rsidR="00310985" w:rsidRPr="00530A54" w:rsidRDefault="00310985" w:rsidP="00BF00E0">
      <w:pPr>
        <w:numPr>
          <w:ilvl w:val="1"/>
          <w:numId w:val="12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Ngritja e çështjeve dhe ngritja e vetëdijes rreth etikes së gazetarisë dhe njoftimi i tyre në raste të dhunës, gjuhës së urrejtjes etj. </w:t>
      </w:r>
      <w:r w:rsidRPr="00530A54">
        <w:rPr>
          <w:color w:val="auto"/>
          <w:sz w:val="23"/>
          <w:szCs w:val="23"/>
          <w:highlight w:val="white"/>
        </w:rPr>
        <w:t xml:space="preserve"> </w:t>
      </w:r>
      <w:r w:rsidRPr="00530A54">
        <w:rPr>
          <w:color w:val="auto"/>
          <w:sz w:val="23"/>
          <w:szCs w:val="23"/>
          <w:highlight w:val="white"/>
          <w:lang w:val="mk-MK"/>
        </w:rPr>
        <w:t xml:space="preserve">Revidimi i ligjit për shërbime audio-vizuele dhe trajtimi i çështjes së mediumeve elektronike. </w:t>
      </w:r>
    </w:p>
    <w:p w:rsidR="00310985" w:rsidRPr="00530A54" w:rsidRDefault="00310985" w:rsidP="003C0A2F">
      <w:pPr>
        <w:spacing w:after="60"/>
        <w:ind w:left="1440"/>
        <w:contextualSpacing/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BF00E0">
      <w:pPr>
        <w:spacing w:after="60"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4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.2.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Parandalimi i dhunës në bazë gjinore </w:t>
      </w:r>
    </w:p>
    <w:p w:rsidR="00310985" w:rsidRPr="00530A54" w:rsidRDefault="00310985" w:rsidP="00BF00E0">
      <w:pPr>
        <w:numPr>
          <w:ilvl w:val="1"/>
          <w:numId w:val="14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lastRenderedPageBreak/>
        <w:t xml:space="preserve">Bashkëpunimi me Qeverinë dhe parashtrimi i iniciativës për miratimin e ligjit të ri gjithëpërfshirës për parandalim, mbrojtje dhe çrrënjosje të dhunës në bazë gjinore </w:t>
      </w:r>
    </w:p>
    <w:p w:rsidR="00310985" w:rsidRPr="00530A54" w:rsidRDefault="00310985" w:rsidP="00BF00E0">
      <w:pPr>
        <w:numPr>
          <w:ilvl w:val="1"/>
          <w:numId w:val="14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Mbështetja e procesit për harmonizimin e legjislacionit të vendit me standardet e vendosura në Konventën e Këshillit të Evropës për parandalim dhe luftë kundër dhunës mbi gruan dhe dhunës familjare; </w:t>
      </w:r>
    </w:p>
    <w:p w:rsidR="00310985" w:rsidRPr="00530A54" w:rsidRDefault="00310985" w:rsidP="00BF00E0">
      <w:pPr>
        <w:numPr>
          <w:ilvl w:val="1"/>
          <w:numId w:val="14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Iniciativa për përfshirjen e përmbajtjeve për parandalim të dhunës mbi gratë dhe vajzat në arsimin formal; </w:t>
      </w:r>
    </w:p>
    <w:p w:rsidR="00310985" w:rsidRPr="00530A54" w:rsidRDefault="00310985" w:rsidP="002E3207">
      <w:pPr>
        <w:numPr>
          <w:ilvl w:val="1"/>
          <w:numId w:val="14"/>
        </w:numPr>
        <w:spacing w:after="60" w:line="280" w:lineRule="auto"/>
        <w:contextualSpacing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Iniciativa për ngritjen e vetëdijes publike, të ngritura nga Klubi i grave deputete, duke përfshirë edhe kampanjën e udhëhequr nga deputetet për çrrënjosjen e diskriminimit dhe dhunës në bazë gjinore. </w:t>
      </w:r>
    </w:p>
    <w:p w:rsidR="00310985" w:rsidRPr="00530A54" w:rsidRDefault="00310985" w:rsidP="00C100CD">
      <w:pPr>
        <w:ind w:left="720"/>
        <w:jc w:val="both"/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2E3207">
      <w:pPr>
        <w:numPr>
          <w:ilvl w:val="0"/>
          <w:numId w:val="12"/>
        </w:numPr>
        <w:spacing w:line="280" w:lineRule="auto"/>
        <w:jc w:val="both"/>
        <w:rPr>
          <w:color w:val="auto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Përforcimi ekonomik i grave dhe pjesëmarrja e rritur në tregun e punës (shqyrtim i veçantë ndaj ekonomisë së kujdesit dhe rolit të deputeteve në proceset buxhetore) </w:t>
      </w:r>
    </w:p>
    <w:p w:rsidR="00310985" w:rsidRPr="00530A54" w:rsidRDefault="00310985" w:rsidP="002E3207">
      <w:pPr>
        <w:spacing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5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.1.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Përforcimi i masave nacionale dhe politikave për pjesëmarrje të rritur të grave në tregun e punës </w:t>
      </w:r>
    </w:p>
    <w:p w:rsidR="00310985" w:rsidRPr="00530A54" w:rsidRDefault="00310985" w:rsidP="002E3207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Kërkimi i llogaridhënies për ndikimin e masave aktive për punësim në rritjen e pjesëmarrjes të grave në tregun e punës; </w:t>
      </w:r>
    </w:p>
    <w:p w:rsidR="00310985" w:rsidRPr="00530A54" w:rsidRDefault="00310985" w:rsidP="002E3207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Kërkesa e vlerësimit të fitimit me investim në ekonominë e kujdesit me qëllim të reduktimit të punës së papaguar të grave; </w:t>
      </w:r>
    </w:p>
    <w:p w:rsidR="00310985" w:rsidRPr="00530A54" w:rsidRDefault="00310985" w:rsidP="002E3207">
      <w:pPr>
        <w:numPr>
          <w:ilvl w:val="1"/>
          <w:numId w:val="12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Mjete financiare të rritura për sipërmarrësin e grave; </w:t>
      </w:r>
    </w:p>
    <w:p w:rsidR="00310985" w:rsidRPr="00530A54" w:rsidRDefault="00310985" w:rsidP="002E3207">
      <w:pPr>
        <w:spacing w:line="280" w:lineRule="auto"/>
        <w:ind w:left="720"/>
        <w:jc w:val="both"/>
        <w:rPr>
          <w:color w:val="auto"/>
          <w:sz w:val="23"/>
          <w:szCs w:val="23"/>
          <w:highlight w:val="white"/>
          <w:u w:val="single"/>
        </w:rPr>
      </w:pP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>5</w:t>
      </w:r>
      <w:r w:rsidRPr="00530A54">
        <w:rPr>
          <w:color w:val="auto"/>
          <w:sz w:val="23"/>
          <w:szCs w:val="23"/>
          <w:highlight w:val="white"/>
          <w:u w:val="single"/>
        </w:rPr>
        <w:t xml:space="preserve">.2.  </w:t>
      </w:r>
      <w:r w:rsidRPr="00530A54">
        <w:rPr>
          <w:color w:val="auto"/>
          <w:sz w:val="23"/>
          <w:szCs w:val="23"/>
          <w:highlight w:val="white"/>
          <w:u w:val="single"/>
          <w:lang w:val="mk-MK"/>
        </w:rPr>
        <w:t xml:space="preserve">Përfshirja e buxhetimit gjinorë në proceset nacionale të planifikimit strategjik </w:t>
      </w:r>
    </w:p>
    <w:p w:rsidR="00310985" w:rsidRPr="00530A54" w:rsidRDefault="00310985" w:rsidP="002E3207">
      <w:pPr>
        <w:numPr>
          <w:ilvl w:val="1"/>
          <w:numId w:val="15"/>
        </w:numPr>
        <w:spacing w:line="280" w:lineRule="auto"/>
        <w:jc w:val="both"/>
        <w:rPr>
          <w:color w:val="auto"/>
          <w:sz w:val="23"/>
          <w:szCs w:val="23"/>
          <w:highlight w:val="white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t xml:space="preserve">Organizimi i sesioneve tematike të Komisioneve për mundësi të barabarta, buxhet dhe komisioni juridik-ligjvënës me qëllim të shqyrtimit të ligjit për buxhete dhe inkorporim të buxhetimit gjinorë. </w:t>
      </w:r>
    </w:p>
    <w:p w:rsidR="00310985" w:rsidRPr="00530A54" w:rsidRDefault="00310985" w:rsidP="002E3207">
      <w:pPr>
        <w:numPr>
          <w:ilvl w:val="1"/>
          <w:numId w:val="15"/>
        </w:numPr>
        <w:spacing w:line="280" w:lineRule="auto"/>
        <w:jc w:val="both"/>
        <w:rPr>
          <w:color w:val="auto"/>
          <w:sz w:val="23"/>
          <w:szCs w:val="23"/>
        </w:rPr>
      </w:pPr>
      <w:r w:rsidRPr="00530A54">
        <w:rPr>
          <w:color w:val="auto"/>
          <w:sz w:val="23"/>
          <w:szCs w:val="23"/>
          <w:lang w:val="mk-MK"/>
        </w:rPr>
        <w:t xml:space="preserve">Inicimi i debateve mbikëqyrëse për buxhetin dhe komponenti i tij gjinorë; </w:t>
      </w:r>
      <w:r w:rsidRPr="00530A54">
        <w:rPr>
          <w:color w:val="auto"/>
          <w:sz w:val="23"/>
          <w:szCs w:val="23"/>
        </w:rPr>
        <w:t xml:space="preserve"> </w:t>
      </w:r>
    </w:p>
    <w:p w:rsidR="00310985" w:rsidRPr="00530A54" w:rsidRDefault="00310985" w:rsidP="002E3207">
      <w:pPr>
        <w:numPr>
          <w:ilvl w:val="1"/>
          <w:numId w:val="15"/>
        </w:numPr>
        <w:spacing w:line="280" w:lineRule="auto"/>
        <w:jc w:val="both"/>
        <w:rPr>
          <w:color w:val="auto"/>
          <w:sz w:val="23"/>
          <w:szCs w:val="23"/>
        </w:rPr>
      </w:pPr>
      <w:r w:rsidRPr="00530A54">
        <w:rPr>
          <w:color w:val="auto"/>
          <w:sz w:val="23"/>
          <w:szCs w:val="23"/>
          <w:lang w:val="mk-MK"/>
        </w:rPr>
        <w:t xml:space="preserve">Sigurimi i buxhetit të balancuar gjinorë. </w:t>
      </w:r>
    </w:p>
    <w:p w:rsidR="00310985" w:rsidRPr="00530A54" w:rsidRDefault="00310985" w:rsidP="00C100CD">
      <w:pPr>
        <w:jc w:val="both"/>
        <w:rPr>
          <w:color w:val="auto"/>
          <w:lang w:val="mk-MK"/>
        </w:rPr>
      </w:pPr>
    </w:p>
    <w:p w:rsidR="00310985" w:rsidRPr="00530A54" w:rsidRDefault="00310985" w:rsidP="002E3207">
      <w:pPr>
        <w:spacing w:line="280" w:lineRule="auto"/>
        <w:jc w:val="both"/>
        <w:rPr>
          <w:b/>
          <w:color w:val="auto"/>
          <w:lang w:val="mk-MK"/>
        </w:rPr>
      </w:pPr>
      <w:r w:rsidRPr="00530A54">
        <w:rPr>
          <w:b/>
          <w:color w:val="auto"/>
          <w:lang w:val="mk-MK"/>
        </w:rPr>
        <w:t xml:space="preserve">Ndjekje dhe evalvim </w:t>
      </w:r>
    </w:p>
    <w:p w:rsidR="00310985" w:rsidRPr="00530A54" w:rsidRDefault="00310985" w:rsidP="002E3207">
      <w:pPr>
        <w:spacing w:line="280" w:lineRule="auto"/>
        <w:jc w:val="both"/>
        <w:rPr>
          <w:color w:val="auto"/>
          <w:lang w:val="mk-MK"/>
        </w:rPr>
        <w:sectPr w:rsidR="00310985" w:rsidRPr="00530A54" w:rsidSect="003C0A2F">
          <w:type w:val="continuous"/>
          <w:pgSz w:w="12240" w:h="15840"/>
          <w:pgMar w:top="1440" w:right="1440" w:bottom="1440" w:left="1440" w:header="0" w:footer="720" w:gutter="0"/>
          <w:pgNumType w:start="1"/>
          <w:cols w:space="720"/>
          <w:rtlGutter/>
        </w:sectPr>
      </w:pPr>
      <w:r w:rsidRPr="00530A54">
        <w:rPr>
          <w:color w:val="auto"/>
          <w:lang w:val="mk-MK"/>
        </w:rPr>
        <w:t xml:space="preserve">Ndjekja dhe evalvimi i qëllimeve dhe aktiviteteve të përmbajtura në Planin Strategjik të Klubit të deputeteve do të zbatohet në vazhdimësi.  Ndjekja do të zbatohet në formë të Raportit vjetor për zbatimin e Planit Strategjik, i cili do të përpilohet në tremujorin e parë të secilit vit ndërsa do të ketë të bëjë me vitin paraprak.  Ky raport do të jetë bazë për planifikimin e ndryshimeve eventuale të Planit Strategjik. </w:t>
      </w: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</w:pPr>
    </w:p>
    <w:p w:rsidR="00310985" w:rsidRPr="00530A54" w:rsidRDefault="00310985" w:rsidP="003C0A2F">
      <w:pPr>
        <w:rPr>
          <w:color w:val="auto"/>
          <w:sz w:val="23"/>
          <w:szCs w:val="23"/>
          <w:highlight w:val="white"/>
        </w:rPr>
        <w:sectPr w:rsidR="00310985" w:rsidRPr="00530A54">
          <w:pgSz w:w="12240" w:h="15840"/>
          <w:pgMar w:top="1440" w:right="1440" w:bottom="1440" w:left="1440" w:header="0" w:footer="720" w:gutter="0"/>
          <w:pgNumType w:start="1"/>
          <w:cols w:space="720"/>
          <w:rtlGutter/>
        </w:sectPr>
      </w:pPr>
    </w:p>
    <w:p w:rsidR="00310985" w:rsidRPr="00530A54" w:rsidRDefault="00310985" w:rsidP="00773A0A">
      <w:pPr>
        <w:spacing w:line="280" w:lineRule="auto"/>
        <w:rPr>
          <w:b/>
          <w:color w:val="auto"/>
          <w:sz w:val="28"/>
          <w:szCs w:val="28"/>
          <w:highlight w:val="white"/>
          <w:lang w:val="mk-MK"/>
        </w:rPr>
      </w:pPr>
      <w:r w:rsidRPr="00530A54">
        <w:rPr>
          <w:b/>
          <w:color w:val="auto"/>
          <w:sz w:val="28"/>
          <w:szCs w:val="28"/>
          <w:highlight w:val="white"/>
          <w:lang w:val="mk-MK"/>
        </w:rPr>
        <w:lastRenderedPageBreak/>
        <w:t xml:space="preserve">Kontrolli i qëllimeve, indikatorëve, mjeteve financiare dhe bartësve të aktiviteteve  </w:t>
      </w:r>
    </w:p>
    <w:tbl>
      <w:tblPr>
        <w:tblW w:w="14761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1760"/>
        <w:gridCol w:w="1664"/>
        <w:gridCol w:w="6"/>
        <w:gridCol w:w="1376"/>
        <w:gridCol w:w="1804"/>
        <w:gridCol w:w="1677"/>
        <w:gridCol w:w="1677"/>
        <w:gridCol w:w="1572"/>
        <w:gridCol w:w="222"/>
        <w:gridCol w:w="2436"/>
        <w:gridCol w:w="18"/>
      </w:tblGrid>
      <w:tr w:rsidR="00530A54" w:rsidRPr="00530A54" w:rsidTr="00F65288">
        <w:trPr>
          <w:trHeight w:val="360"/>
        </w:trPr>
        <w:tc>
          <w:tcPr>
            <w:tcW w:w="2309" w:type="dxa"/>
            <w:gridSpan w:val="2"/>
            <w:vMerge w:val="restart"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QËLLIME STRATEGJIKE </w:t>
            </w:r>
          </w:p>
        </w:tc>
        <w:tc>
          <w:tcPr>
            <w:tcW w:w="8204" w:type="dxa"/>
            <w:gridSpan w:val="6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INDIKATOR PËR REALIZIM </w:t>
            </w:r>
          </w:p>
        </w:tc>
        <w:tc>
          <w:tcPr>
            <w:tcW w:w="1572" w:type="dxa"/>
            <w:vMerge w:val="restart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Mjete financiare për plotësim </w:t>
            </w:r>
          </w:p>
        </w:tc>
        <w:tc>
          <w:tcPr>
            <w:tcW w:w="2676" w:type="dxa"/>
            <w:gridSpan w:val="3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Bartës i aktivitetit </w:t>
            </w:r>
          </w:p>
          <w:p w:rsidR="00310985" w:rsidRPr="00530A54" w:rsidRDefault="00310985" w:rsidP="006A0362">
            <w:pPr>
              <w:widowControl w:val="0"/>
              <w:ind w:right="80"/>
              <w:rPr>
                <w:color w:val="auto"/>
                <w:sz w:val="16"/>
                <w:szCs w:val="16"/>
              </w:rPr>
            </w:pPr>
          </w:p>
        </w:tc>
      </w:tr>
      <w:tr w:rsidR="00530A54" w:rsidRPr="00530A54" w:rsidTr="00F65288">
        <w:trPr>
          <w:trHeight w:val="680"/>
        </w:trPr>
        <w:tc>
          <w:tcPr>
            <w:tcW w:w="2309" w:type="dxa"/>
            <w:gridSpan w:val="2"/>
            <w:vMerge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line="240" w:lineRule="auto"/>
              <w:ind w:left="-115" w:right="-115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664" w:type="dxa"/>
            <w:shd w:val="clear" w:color="auto" w:fill="C5E0B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30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INDIKATOR </w:t>
            </w:r>
          </w:p>
        </w:tc>
        <w:tc>
          <w:tcPr>
            <w:tcW w:w="1382" w:type="dxa"/>
            <w:gridSpan w:val="2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83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BAZA </w:t>
            </w:r>
          </w:p>
        </w:tc>
        <w:tc>
          <w:tcPr>
            <w:tcW w:w="1804" w:type="dxa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 w:firstLine="72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VLERA TË CILAT DUHET TË PLOTËSOHEN NË 2018 </w:t>
            </w:r>
          </w:p>
        </w:tc>
        <w:tc>
          <w:tcPr>
            <w:tcW w:w="1677" w:type="dxa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 w:firstLine="72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VLERA TË CILAT DUHET TË PLOTËSOHEN NË 2019 </w:t>
            </w:r>
          </w:p>
        </w:tc>
        <w:tc>
          <w:tcPr>
            <w:tcW w:w="1677" w:type="dxa"/>
            <w:shd w:val="clear" w:color="auto" w:fill="C5E0B3"/>
            <w:vAlign w:val="center"/>
          </w:tcPr>
          <w:p w:rsidR="00310985" w:rsidRPr="00530A54" w:rsidRDefault="00310985" w:rsidP="00773A0A">
            <w:pPr>
              <w:widowControl w:val="0"/>
              <w:spacing w:line="280" w:lineRule="auto"/>
              <w:ind w:right="216" w:firstLine="72"/>
              <w:jc w:val="center"/>
              <w:rPr>
                <w:color w:val="auto"/>
                <w:sz w:val="16"/>
                <w:szCs w:val="16"/>
                <w:lang w:val="mk-MK"/>
              </w:rPr>
            </w:pPr>
            <w:r w:rsidRPr="00530A54">
              <w:rPr>
                <w:b/>
                <w:color w:val="auto"/>
                <w:sz w:val="16"/>
                <w:szCs w:val="16"/>
                <w:lang w:val="mk-MK"/>
              </w:rPr>
              <w:t xml:space="preserve">VLERA TË CILAT DUHET TË PLOTËSOHEN NË 2020 </w:t>
            </w:r>
          </w:p>
        </w:tc>
        <w:tc>
          <w:tcPr>
            <w:tcW w:w="1572" w:type="dxa"/>
            <w:vMerge/>
            <w:shd w:val="clear" w:color="auto" w:fill="C5E0B3"/>
            <w:vAlign w:val="center"/>
          </w:tcPr>
          <w:p w:rsidR="00310985" w:rsidRPr="00530A54" w:rsidRDefault="00310985" w:rsidP="006A0362">
            <w:pPr>
              <w:widowControl w:val="0"/>
              <w:rPr>
                <w:color w:val="auto"/>
                <w:sz w:val="16"/>
                <w:szCs w:val="16"/>
              </w:rPr>
            </w:pPr>
          </w:p>
        </w:tc>
        <w:tc>
          <w:tcPr>
            <w:tcW w:w="2676" w:type="dxa"/>
            <w:gridSpan w:val="3"/>
            <w:shd w:val="clear" w:color="auto" w:fill="C5E0B3"/>
            <w:vAlign w:val="center"/>
          </w:tcPr>
          <w:p w:rsidR="00310985" w:rsidRPr="00530A54" w:rsidRDefault="00310985" w:rsidP="006A0362">
            <w:pPr>
              <w:widowControl w:val="0"/>
              <w:rPr>
                <w:color w:val="auto"/>
                <w:sz w:val="16"/>
                <w:szCs w:val="16"/>
              </w:rPr>
            </w:pPr>
          </w:p>
          <w:p w:rsidR="00310985" w:rsidRPr="00530A54" w:rsidRDefault="00310985" w:rsidP="006A0362">
            <w:pPr>
              <w:widowControl w:val="0"/>
              <w:ind w:left="80" w:right="8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530A54" w:rsidRPr="00530A54" w:rsidTr="00F65288">
        <w:trPr>
          <w:trHeight w:val="560"/>
        </w:trPr>
        <w:tc>
          <w:tcPr>
            <w:tcW w:w="2309" w:type="dxa"/>
            <w:gridSpan w:val="2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after="160" w:line="259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</w:rPr>
              <w:t>1.</w:t>
            </w:r>
          </w:p>
        </w:tc>
        <w:tc>
          <w:tcPr>
            <w:tcW w:w="12452" w:type="dxa"/>
            <w:gridSpan w:val="10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773A0A">
            <w:pPr>
              <w:widowControl w:val="0"/>
              <w:spacing w:after="160" w:line="26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 xml:space="preserve">Përforcimi i kapaciteteve të Klubit të deputeteve </w:t>
            </w:r>
          </w:p>
        </w:tc>
      </w:tr>
      <w:tr w:rsidR="00530A54" w:rsidRPr="00530A54" w:rsidTr="00F65288">
        <w:trPr>
          <w:trHeight w:val="1575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Angazhimi i personit i cili do të jetë i përkushtuar vetëm në Klubin e deputeteve.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</w:tcPr>
          <w:p w:rsidR="00310985" w:rsidRPr="00530A54" w:rsidRDefault="00310985" w:rsidP="006A0362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Trajnimi i personit të angazhuar në sferat në vijim: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t xml:space="preserve">funksionet e Kuvendit të Republikës së Maqedonisë, të drejtat dhe obligimet e deputeteve, barazia gjinore, procedurë ligjvënlse, dhe kështu me radhë.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</w:tcPr>
          <w:p w:rsidR="00310985" w:rsidRPr="00530A54" w:rsidRDefault="00310985" w:rsidP="006A0362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>Trajnimi i shërbimit profesional të Kuvendit të Republikës së Maqedonisë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</w:tcPr>
          <w:p w:rsidR="00310985" w:rsidRPr="00530A54" w:rsidRDefault="00310985" w:rsidP="006A0362">
            <w:pPr>
              <w:widowControl w:val="0"/>
              <w:ind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310985" w:rsidRPr="00530A54" w:rsidRDefault="00310985" w:rsidP="006A0362">
            <w:pPr>
              <w:widowControl w:val="0"/>
              <w:spacing w:line="280" w:lineRule="auto"/>
              <w:ind w:right="24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Rritja e bazës së informatave të Klubit të grave deputete me studime relevante, analiza dhe informata në lidhje me këto sfera strategjike (dhe më gjerë).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t xml:space="preserve">Të kontrollohet nëse Maqedonia do ta zbatojë EU gender index siç ishte njoftuar.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Realizimi i takimit ndërmjet deputeteve nga Maqedonia dhe deputeteve nga Parlamenti Evropian, posaçërisht ato të cilat janë përfshirë në diskutimet për procesin e aderimit të Maqedonisë në BE </w:t>
            </w:r>
          </w:p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572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676" w:type="dxa"/>
            <w:gridSpan w:val="3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gridAfter w:val="1"/>
          <w:wAfter w:w="18" w:type="dxa"/>
          <w:trHeight w:val="560"/>
        </w:trPr>
        <w:tc>
          <w:tcPr>
            <w:tcW w:w="2309" w:type="dxa"/>
            <w:gridSpan w:val="2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2</w:t>
            </w:r>
            <w:r w:rsidRPr="00530A54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2434" w:type="dxa"/>
            <w:gridSpan w:val="9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73D91">
            <w:pPr>
              <w:widowControl w:val="0"/>
              <w:spacing w:line="240" w:lineRule="auto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 xml:space="preserve">Rritja e aktiviteteve të Klubit të deputeteve </w:t>
            </w:r>
            <w:r w:rsidRPr="00530A54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10985" w:rsidRPr="00530A54" w:rsidRDefault="00310985" w:rsidP="00450767">
            <w:pPr>
              <w:widowControl w:val="0"/>
              <w:spacing w:line="24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2.1 Organizimi i takimeve javore të kryesisë së Klubit të deputeteve </w:t>
            </w:r>
          </w:p>
          <w:p w:rsidR="00310985" w:rsidRPr="00530A54" w:rsidRDefault="00310985" w:rsidP="008274F8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8274F8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8274F8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2.2 Organizimi minimum i një aktiviteti në muaj i Klubit të deputeteve të orientuara nga jashtë </w:t>
            </w:r>
          </w:p>
          <w:p w:rsidR="00310985" w:rsidRPr="00530A54" w:rsidRDefault="00310985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8274F8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8274F8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158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2.3 Shqyrtimi i propozim-ligjeve nga aspekti gjinorë </w:t>
            </w:r>
          </w:p>
          <w:p w:rsidR="00310985" w:rsidRPr="00530A54" w:rsidRDefault="00310985" w:rsidP="00CB7CFE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8274F8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8274F8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8274F8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56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line="240" w:lineRule="auto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3</w:t>
            </w:r>
            <w:r w:rsidRPr="00530A54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AD7A08">
            <w:pPr>
              <w:widowControl w:val="0"/>
              <w:spacing w:line="240" w:lineRule="auto"/>
              <w:rPr>
                <w:b/>
                <w:color w:val="auto"/>
                <w:sz w:val="20"/>
                <w:szCs w:val="20"/>
                <w:lang w:val="mk-MK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 xml:space="preserve">Pjesëmarrja e rritur dhe fuqia e grave në proceset politike dhe proceset e marrjes së vendimeve </w:t>
            </w:r>
          </w:p>
        </w:tc>
      </w:tr>
      <w:tr w:rsidR="00530A54" w:rsidRPr="00530A54" w:rsidTr="00F65288">
        <w:trPr>
          <w:trHeight w:val="30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jc w:val="center"/>
              <w:rPr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3</w:t>
            </w:r>
            <w:r w:rsidRPr="00530A54">
              <w:rPr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Pjesëmarrja e rritur e grave në pushtetin ekzekutiv (ministre) dhe pushtetin lokal (kryetare të komunave) </w:t>
            </w:r>
          </w:p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Ndryshime në ligjin për Qeveri: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masa afirmative për numrin e rritur të grave ministre, sekretare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shtetërore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73A0A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>Ndryshimi i ligjit për mundësi të barabarta dhe rikualifikim në lex generalis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Ndryshime dhe plotësime në kodin zgjedhor për rritje të kuotave për pjesëmarrjen e grave në politike, që të arrihet krahasim 50:50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ndryshim dhe plotësime në kodin zgjedhor për 30% gra të zgjedhura në pushtetin ekzekutiv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Ndryshime në ligjin për Qeveri: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masa afirmative për numrin e rritur të grave ministre, sekretare shtetërore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mk-MK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3</w:t>
            </w:r>
            <w:r w:rsidRPr="00530A54">
              <w:rPr>
                <w:b/>
                <w:color w:val="auto"/>
                <w:sz w:val="20"/>
                <w:szCs w:val="20"/>
              </w:rPr>
              <w:t>.2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Gratë e përfshira në të gjitha ad hoc grupet politike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30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Klubi i deputeteve të përpilojë dokument për prezencën e grave në marrjen e vendimeve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after="160" w:line="259" w:lineRule="auto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4</w:t>
            </w:r>
            <w:r w:rsidRPr="00530A54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756D3B">
            <w:pPr>
              <w:widowControl w:val="0"/>
              <w:spacing w:line="280" w:lineRule="auto"/>
              <w:ind w:left="117" w:right="219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 xml:space="preserve">Çrrënjosja e diskriminimit dhe dhunës në bazë gjinore; </w:t>
            </w:r>
          </w:p>
        </w:tc>
      </w:tr>
      <w:tr w:rsidR="00530A54" w:rsidRPr="00530A54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after="160" w:line="259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4</w:t>
            </w:r>
            <w:r w:rsidRPr="00530A54">
              <w:rPr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Mekanizma të përforcuara për mbrojtje nga diskriminimi në bazë gjinore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756D3B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Monitorimi i zmadhuar i punës së Komisionit për mbrojtje nga diskriminimi, pas miratimit të ligjit të ri për mbrojtje nga diskriminimi dhe mbështetja e përforcuar institucionale e komisionit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ind w:left="-15" w:right="24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80" w:lineRule="auto"/>
              <w:ind w:left="-15" w:right="24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4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Iniciativa për ngritjen e vetëdijes për rolin e Drejtorisë për mbrojtjen e të dhënave personale dhe informimi i grave për atë se ku të drejtohen në rast të dhunës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nëpërmjet medieve sociale, gjuha e urrejtjes dhe kështu me radhë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4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Edukimi i ndjeshëm gjinorë në sistemin arsimorë, bashkëpunim dhe llogaridhënie nga Ministria e Arsimit ndaj vendosjes së pedagogjisë së ndjeshme gjinore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457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4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Ngritja e çështjeve dhe ngritja e vetëdijes rreth etikës së gazetarisë dhe njoftimi i tyre në raste të dhunës, gjuhës së urrejtjes etj. </w:t>
            </w:r>
            <w:r w:rsidRPr="00530A54">
              <w:rPr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t xml:space="preserve">Revidimi i ligjit për shërbime audio-vizuele dhe trajtimi i çështjes së mediumeve elektronike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after="160" w:line="259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4</w:t>
            </w:r>
            <w:r w:rsidRPr="00530A54">
              <w:rPr>
                <w:b/>
                <w:color w:val="auto"/>
                <w:sz w:val="20"/>
                <w:szCs w:val="20"/>
              </w:rPr>
              <w:t>.2.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Parandalimi i dhunës në bazë gjinore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Bashkëpunimi me Qeverinë dhe parashtrimi i iniciativës për miratimin e ligjit të ri gjithëpërfshirës për parandalim, mbrojtje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dhe çrrënjosje të dhunës në bazë gjinore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Mbështetja e procesit për harmonizimin e legjislacionit të vendit me standardet e vendosura në Konventën e Këshillit të Evropës për parandalim dhe luftë kundër dhunës mbi gruan dhe dhunës familjare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Iniciativa për përfshirjen e përmbajtjeve për parandalim të dhunës mbi gratë dhe vajzat në arsimin formal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4141D0">
            <w:pPr>
              <w:tabs>
                <w:tab w:val="left" w:pos="142"/>
              </w:tabs>
              <w:spacing w:after="120" w:line="280" w:lineRule="auto"/>
              <w:jc w:val="both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Iniciativa për ngritjen e vetëdijes publike, të ngritura nga Klubi i grave deputete, duke përfshirë edhe kampanjën e udhëhequr nga deputetët për çrrënjosjen e diskriminimit dhe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dhunës në bazë gjinore </w:t>
            </w:r>
          </w:p>
        </w:tc>
        <w:tc>
          <w:tcPr>
            <w:tcW w:w="166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34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520"/>
        </w:trPr>
        <w:tc>
          <w:tcPr>
            <w:tcW w:w="549" w:type="dxa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widowControl w:val="0"/>
              <w:spacing w:line="259" w:lineRule="auto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5</w:t>
            </w:r>
            <w:r w:rsidRPr="00530A54">
              <w:rPr>
                <w:b/>
                <w:color w:val="auto"/>
                <w:sz w:val="20"/>
                <w:szCs w:val="20"/>
              </w:rPr>
              <w:t>.</w:t>
            </w:r>
          </w:p>
        </w:tc>
        <w:tc>
          <w:tcPr>
            <w:tcW w:w="14212" w:type="dxa"/>
            <w:gridSpan w:val="11"/>
            <w:shd w:val="clear" w:color="auto" w:fill="F4B083"/>
            <w:tcMar>
              <w:top w:w="100" w:type="dxa"/>
              <w:left w:w="115" w:type="dxa"/>
              <w:bottom w:w="100" w:type="dxa"/>
              <w:right w:w="115" w:type="dxa"/>
            </w:tcMar>
            <w:vAlign w:val="center"/>
          </w:tcPr>
          <w:p w:rsidR="00310985" w:rsidRPr="00530A54" w:rsidRDefault="00310985" w:rsidP="006A0362">
            <w:pPr>
              <w:spacing w:line="240" w:lineRule="auto"/>
              <w:jc w:val="both"/>
              <w:rPr>
                <w:b/>
                <w:color w:val="auto"/>
                <w:sz w:val="20"/>
                <w:szCs w:val="20"/>
                <w:lang w:val="mk-MK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 xml:space="preserve">Përforcimi ekonomik i grave dhe pjesëmarrja e rritur në tregun e punës (shqyrtim i veçantë ndaj ekonomisë së kujdesit dhe  </w:t>
            </w:r>
          </w:p>
          <w:p w:rsidR="00310985" w:rsidRPr="00530A54" w:rsidRDefault="00310985" w:rsidP="006A0362">
            <w:pPr>
              <w:spacing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530A54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rolit të deputeteve në proceset buxhetore)</w:t>
            </w:r>
          </w:p>
        </w:tc>
      </w:tr>
      <w:tr w:rsidR="00530A54" w:rsidRPr="00530A54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after="160" w:line="259" w:lineRule="auto"/>
              <w:jc w:val="center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5</w:t>
            </w:r>
            <w:r w:rsidRPr="00530A54">
              <w:rPr>
                <w:b/>
                <w:color w:val="auto"/>
                <w:sz w:val="20"/>
                <w:szCs w:val="20"/>
              </w:rPr>
              <w:t>.1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951E14">
            <w:pPr>
              <w:spacing w:line="240" w:lineRule="auto"/>
              <w:rPr>
                <w:color w:val="auto"/>
                <w:sz w:val="20"/>
                <w:szCs w:val="20"/>
                <w:lang w:val="mk-MK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Përforcimi i masave nacionale dhe politikave për pjesëmarrje të rritur të grave në tregun e punës </w:t>
            </w:r>
          </w:p>
          <w:p w:rsidR="00310985" w:rsidRPr="00530A54" w:rsidRDefault="00310985" w:rsidP="000E5245">
            <w:pPr>
              <w:spacing w:line="240" w:lineRule="auto"/>
              <w:rPr>
                <w:color w:val="auto"/>
                <w:sz w:val="20"/>
                <w:szCs w:val="20"/>
                <w:lang w:val="mk-MK"/>
              </w:rPr>
            </w:pP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-15" w:right="219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Kërkimi i llogaridhënies për ndikimin e masave aktive për punësim në rritjen e pjesëmarrjes të grave në tregun e punës 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8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spacing w:after="160"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spacing w:after="160" w:line="259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-15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5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Kërkesa e vlerësimit të fitimit me investim në ekonominë e kujdesit me qëllim të reduktimit të punës së papaguar të grave; 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Mjete financiare të rritura për sipërmarrësin e grave; 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549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0E5245">
            <w:pPr>
              <w:widowControl w:val="0"/>
              <w:spacing w:line="240" w:lineRule="auto"/>
              <w:jc w:val="center"/>
              <w:rPr>
                <w:b/>
                <w:color w:val="auto"/>
                <w:sz w:val="20"/>
                <w:szCs w:val="20"/>
                <w:lang w:val="mk-MK"/>
              </w:rPr>
            </w:pP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5</w:t>
            </w:r>
            <w:r w:rsidRPr="00530A54">
              <w:rPr>
                <w:b/>
                <w:color w:val="auto"/>
                <w:sz w:val="20"/>
                <w:szCs w:val="20"/>
              </w:rPr>
              <w:t>.</w:t>
            </w:r>
            <w:r w:rsidRPr="00530A54">
              <w:rPr>
                <w:b/>
                <w:color w:val="auto"/>
                <w:sz w:val="20"/>
                <w:szCs w:val="20"/>
                <w:lang w:val="mk-MK"/>
              </w:rPr>
              <w:t>2</w:t>
            </w:r>
          </w:p>
        </w:tc>
        <w:tc>
          <w:tcPr>
            <w:tcW w:w="1760" w:type="dxa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Përfshirja e buxhetimit gjinorë në proceset nacionale të planifikimit </w:t>
            </w:r>
            <w:r w:rsidRPr="00530A54">
              <w:rPr>
                <w:color w:val="auto"/>
                <w:sz w:val="20"/>
                <w:szCs w:val="20"/>
                <w:lang w:val="mk-MK"/>
              </w:rPr>
              <w:lastRenderedPageBreak/>
              <w:t xml:space="preserve">strategjik 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ind w:left="5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0E5245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Organizimi i sesioneve tematike të Komisioneve për mundësi të barabarta, buxhet dhe komisioni juridik-ligjvënës me qëllim të shqyrtimit të ligjit për buxhete dhe inkorporim të buxhetimit gjinorë. </w:t>
            </w:r>
          </w:p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spacing w:line="240" w:lineRule="auto"/>
              <w:ind w:right="65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  <w:tr w:rsidR="00530A54" w:rsidRPr="00530A54" w:rsidTr="00F65288">
        <w:trPr>
          <w:trHeight w:val="620"/>
        </w:trPr>
        <w:tc>
          <w:tcPr>
            <w:tcW w:w="2309" w:type="dxa"/>
            <w:gridSpan w:val="2"/>
            <w:shd w:val="clear" w:color="auto" w:fill="E2EFD9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spacing w:line="240" w:lineRule="auto"/>
              <w:rPr>
                <w:color w:val="auto"/>
                <w:sz w:val="20"/>
                <w:szCs w:val="20"/>
              </w:rPr>
            </w:pPr>
            <w:r w:rsidRPr="00530A54">
              <w:rPr>
                <w:color w:val="auto"/>
                <w:sz w:val="20"/>
                <w:szCs w:val="20"/>
                <w:lang w:val="mk-MK"/>
              </w:rPr>
              <w:t xml:space="preserve">Inicimi i debateve mbikëqyrëse për buxhetin dhe pyetje deputetësh për investimet në sferën e barazisë gjinore, sa mjete të investuara për pjesëmarrje më të madhe të grave në tregun e punës, % të investimeve nga buxheti të investuara në sipërmarrësin e grave në krahasim me buxhetin e përgjithshëm të Ministrisë së Ekonomisë; % e investimeve kapitale dhe sa nga ajo janë për institucionalizim dhe shërbime të kujdesit. </w:t>
            </w:r>
          </w:p>
        </w:tc>
        <w:tc>
          <w:tcPr>
            <w:tcW w:w="1670" w:type="dxa"/>
            <w:gridSpan w:val="2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310985" w:rsidRPr="00530A54" w:rsidRDefault="00310985" w:rsidP="006A0362">
            <w:pPr>
              <w:widowControl w:val="0"/>
              <w:tabs>
                <w:tab w:val="left" w:pos="970"/>
              </w:tabs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1376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804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677" w:type="dxa"/>
          </w:tcPr>
          <w:p w:rsidR="00310985" w:rsidRPr="00530A54" w:rsidRDefault="00310985" w:rsidP="006A0362">
            <w:pPr>
              <w:widowControl w:val="0"/>
              <w:spacing w:line="240" w:lineRule="auto"/>
              <w:ind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117" w:right="219"/>
              <w:rPr>
                <w:color w:val="auto"/>
                <w:sz w:val="20"/>
                <w:szCs w:val="20"/>
              </w:rPr>
            </w:pPr>
          </w:p>
        </w:tc>
        <w:tc>
          <w:tcPr>
            <w:tcW w:w="2454" w:type="dxa"/>
            <w:gridSpan w:val="2"/>
          </w:tcPr>
          <w:p w:rsidR="00310985" w:rsidRPr="00530A54" w:rsidRDefault="00310985" w:rsidP="006A0362">
            <w:pPr>
              <w:widowControl w:val="0"/>
              <w:spacing w:line="240" w:lineRule="auto"/>
              <w:ind w:left="-108" w:right="219"/>
              <w:rPr>
                <w:color w:val="auto"/>
                <w:sz w:val="20"/>
                <w:szCs w:val="20"/>
              </w:rPr>
            </w:pPr>
          </w:p>
        </w:tc>
      </w:tr>
    </w:tbl>
    <w:p w:rsidR="00310985" w:rsidRPr="00530A54" w:rsidRDefault="00310985" w:rsidP="00A50890">
      <w:pPr>
        <w:spacing w:line="280" w:lineRule="auto"/>
        <w:ind w:right="-790"/>
        <w:jc w:val="both"/>
        <w:rPr>
          <w:color w:val="auto"/>
          <w:sz w:val="23"/>
          <w:szCs w:val="23"/>
          <w:highlight w:val="white"/>
          <w:lang w:val="mk-MK"/>
        </w:rPr>
      </w:pPr>
      <w:r w:rsidRPr="00530A54">
        <w:rPr>
          <w:color w:val="auto"/>
          <w:sz w:val="23"/>
          <w:szCs w:val="23"/>
          <w:highlight w:val="white"/>
          <w:lang w:val="mk-MK"/>
        </w:rPr>
        <w:lastRenderedPageBreak/>
        <w:t xml:space="preserve">VËREJTJE:  Ky plan strategjik është përgatitur në bazë të të gjitha aktiviteteve dhe ngjarjeve të Klubit të deputeteve të organizuara në bashkëpunim dhe mbështetje në Lobin e Grave të Maqedonisë, NDI, UN Women dhe OSBE, si dhe të pyetësorit të zhvilluar dhe zbatuar nga NDI me anëtaret e Klubit të deputeteve. </w:t>
      </w:r>
    </w:p>
    <w:sectPr w:rsidR="00310985" w:rsidRPr="00530A54" w:rsidSect="00EC1954">
      <w:pgSz w:w="15840" w:h="12240" w:orient="landscape" w:code="1"/>
      <w:pgMar w:top="1440" w:right="1440" w:bottom="1440" w:left="1440" w:header="0" w:footer="720" w:gutter="0"/>
      <w:pgNumType w:start="1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EA2"/>
    <w:multiLevelType w:val="hybridMultilevel"/>
    <w:tmpl w:val="41048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15BFF"/>
    <w:multiLevelType w:val="multilevel"/>
    <w:tmpl w:val="258CB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061802F7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" w15:restartNumberingAfterBreak="0">
    <w:nsid w:val="15D00F5F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 w15:restartNumberingAfterBreak="0">
    <w:nsid w:val="1E4C6FF9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" w15:restartNumberingAfterBreak="0">
    <w:nsid w:val="20267704"/>
    <w:multiLevelType w:val="multilevel"/>
    <w:tmpl w:val="3C68B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" w15:restartNumberingAfterBreak="0">
    <w:nsid w:val="3EF570B2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7" w15:restartNumberingAfterBreak="0">
    <w:nsid w:val="409436CE"/>
    <w:multiLevelType w:val="multilevel"/>
    <w:tmpl w:val="6C266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8" w15:restartNumberingAfterBreak="0">
    <w:nsid w:val="45BE406B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9" w15:restartNumberingAfterBreak="0">
    <w:nsid w:val="553465C3"/>
    <w:multiLevelType w:val="multilevel"/>
    <w:tmpl w:val="8690DE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0" w15:restartNumberingAfterBreak="0">
    <w:nsid w:val="7B81571A"/>
    <w:multiLevelType w:val="multilevel"/>
    <w:tmpl w:val="3F8A25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WfColors" w:val="1"/>
  </w:docVars>
  <w:rsids>
    <w:rsidRoot w:val="00790459"/>
    <w:rsid w:val="00035C2D"/>
    <w:rsid w:val="00040C72"/>
    <w:rsid w:val="000D697D"/>
    <w:rsid w:val="000E5245"/>
    <w:rsid w:val="001130C3"/>
    <w:rsid w:val="00123FB4"/>
    <w:rsid w:val="0017287A"/>
    <w:rsid w:val="001B5606"/>
    <w:rsid w:val="00223F69"/>
    <w:rsid w:val="00233FBC"/>
    <w:rsid w:val="002757AE"/>
    <w:rsid w:val="0029091D"/>
    <w:rsid w:val="002E3207"/>
    <w:rsid w:val="002E629B"/>
    <w:rsid w:val="00310985"/>
    <w:rsid w:val="00310B37"/>
    <w:rsid w:val="00390AAA"/>
    <w:rsid w:val="003C0A2F"/>
    <w:rsid w:val="003D70E1"/>
    <w:rsid w:val="004141D0"/>
    <w:rsid w:val="00450767"/>
    <w:rsid w:val="00493A33"/>
    <w:rsid w:val="004B62AC"/>
    <w:rsid w:val="00530A54"/>
    <w:rsid w:val="00530B4B"/>
    <w:rsid w:val="00565BC0"/>
    <w:rsid w:val="005A689C"/>
    <w:rsid w:val="005E36E5"/>
    <w:rsid w:val="00673D91"/>
    <w:rsid w:val="006A0362"/>
    <w:rsid w:val="006B6633"/>
    <w:rsid w:val="00707343"/>
    <w:rsid w:val="0071084C"/>
    <w:rsid w:val="00756D3B"/>
    <w:rsid w:val="0076502D"/>
    <w:rsid w:val="00773A0A"/>
    <w:rsid w:val="00790459"/>
    <w:rsid w:val="007A4DC7"/>
    <w:rsid w:val="007B4FD9"/>
    <w:rsid w:val="008274F8"/>
    <w:rsid w:val="00932502"/>
    <w:rsid w:val="00951E14"/>
    <w:rsid w:val="009620C6"/>
    <w:rsid w:val="0099305E"/>
    <w:rsid w:val="00A157B1"/>
    <w:rsid w:val="00A50890"/>
    <w:rsid w:val="00AA1332"/>
    <w:rsid w:val="00AD7A08"/>
    <w:rsid w:val="00AF55D8"/>
    <w:rsid w:val="00B0630A"/>
    <w:rsid w:val="00B577D5"/>
    <w:rsid w:val="00B71293"/>
    <w:rsid w:val="00B928FB"/>
    <w:rsid w:val="00BC54C6"/>
    <w:rsid w:val="00BF00E0"/>
    <w:rsid w:val="00C100CD"/>
    <w:rsid w:val="00C25141"/>
    <w:rsid w:val="00C25802"/>
    <w:rsid w:val="00C30A37"/>
    <w:rsid w:val="00C4247F"/>
    <w:rsid w:val="00C75A97"/>
    <w:rsid w:val="00CB7CFE"/>
    <w:rsid w:val="00CF5BF3"/>
    <w:rsid w:val="00D67A5E"/>
    <w:rsid w:val="00DD0F7B"/>
    <w:rsid w:val="00E11646"/>
    <w:rsid w:val="00E20CDD"/>
    <w:rsid w:val="00E22C04"/>
    <w:rsid w:val="00E333A0"/>
    <w:rsid w:val="00EC1954"/>
    <w:rsid w:val="00F02C3A"/>
    <w:rsid w:val="00F24BCC"/>
    <w:rsid w:val="00F65288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4CE456C"/>
  <w15:docId w15:val="{8475EB30-747B-46A3-989B-1AFFEB7A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B4"/>
    <w:pPr>
      <w:spacing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FB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FB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FB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23FB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23FB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23FB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00B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000B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000B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000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000B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000B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123FB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000B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23FB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5000B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123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3FB4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123FB4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35C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5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F5B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24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1860</Words>
  <Characters>10605</Characters>
  <Application>Microsoft Office Word</Application>
  <DocSecurity>0</DocSecurity>
  <Lines>88</Lines>
  <Paragraphs>24</Paragraphs>
  <ScaleCrop>false</ScaleCrop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Cvetkovska</dc:creator>
  <cp:keywords/>
  <dc:description/>
  <cp:lastModifiedBy>Ismail Hamiti</cp:lastModifiedBy>
  <cp:revision>4</cp:revision>
  <dcterms:created xsi:type="dcterms:W3CDTF">2019-02-11T12:47:00Z</dcterms:created>
  <dcterms:modified xsi:type="dcterms:W3CDTF">2019-02-11T12:51:00Z</dcterms:modified>
</cp:coreProperties>
</file>